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keepNext w:val="0"/>
        <w:keepLines w:val="0"/>
        <w:pageBreakBefore w:val="0"/>
        <w:kinsoku/>
        <w:wordWrap/>
        <w:overflowPunct/>
        <w:topLinePunct w:val="0"/>
        <w:bidi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1．主要职能。</w:t>
      </w:r>
    </w:p>
    <w:p>
      <w:pPr>
        <w:keepNext w:val="0"/>
        <w:keepLines w:val="0"/>
        <w:pageBreakBefore w:val="0"/>
        <w:kinsoku/>
        <w:wordWrap/>
        <w:overflowPunct/>
        <w:topLinePunct w:val="0"/>
        <w:bidi w:val="0"/>
        <w:snapToGrid w:val="0"/>
        <w:spacing w:line="560" w:lineRule="exact"/>
        <w:ind w:firstLine="560" w:firstLineChars="200"/>
        <w:rPr>
          <w:rFonts w:hint="eastAsia" w:ascii="仿宋_GB2312" w:hAnsi="仿宋" w:eastAsia="仿宋_GB2312"/>
          <w:sz w:val="28"/>
          <w:szCs w:val="28"/>
        </w:rPr>
      </w:pPr>
      <w:r>
        <w:rPr>
          <w:rFonts w:hint="eastAsia" w:ascii="仿宋_GB2312" w:eastAsia="仿宋_GB2312"/>
          <w:kern w:val="0"/>
          <w:sz w:val="28"/>
          <w:szCs w:val="28"/>
          <w:lang w:eastAsia="zh-CN"/>
        </w:rPr>
        <w:t>区委组织部是主管组织、干部和人才工作的区委工作机构。主要职责是：根据党的组织路线和干部政策，在区委领导下，抓好处级领导班子和领导干部队伍建设，考察、配备干部，做好日常管理监督工作；做好全区公务员录用调配、考核奖惩和培训等事务，指导公务员队伍建设和绩效管理。指导全区基层党组织和党员队伍建设，负责党组织设置、调整及有关审批工作，督促基层党组织落实组织生活制度；组织指导协调本区非公有制经济组织和社会组织党建工作的意见和政策措施，做好新业态新就业群体党建工作；做好全区党员教育管理，老党员、生活困难党员的补助帮扶工作；负责区党代表大会代表的联络、培训和服务工作。落实“党管人才”要求，统筹协调全区人才队伍建设；负责人才引进和留学回国人员引进等相关职责。制定全区干部、党员教育培训规划，做好教育培训的指导、协调、检查和宏观管理工作，具体负责全区处级干部、优秀中青年干部和公务员的培训。</w:t>
      </w:r>
    </w:p>
    <w:p>
      <w:pPr>
        <w:keepNext w:val="0"/>
        <w:keepLines w:val="0"/>
        <w:pageBreakBefore w:val="0"/>
        <w:kinsoku/>
        <w:wordWrap/>
        <w:overflowPunct/>
        <w:topLinePunct w:val="0"/>
        <w:bidi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2．机构情况，包括当年变动情况及原因。</w:t>
      </w:r>
    </w:p>
    <w:p>
      <w:pPr>
        <w:keepNext w:val="0"/>
        <w:keepLines w:val="0"/>
        <w:pageBreakBefore w:val="0"/>
        <w:kinsoku/>
        <w:wordWrap/>
        <w:overflowPunct/>
        <w:topLinePunct w:val="0"/>
        <w:bidi w:val="0"/>
        <w:snapToGrid w:val="0"/>
        <w:spacing w:line="560" w:lineRule="exact"/>
        <w:ind w:firstLine="560" w:firstLineChars="200"/>
        <w:rPr>
          <w:rFonts w:hint="eastAsia" w:ascii="仿宋_GB2312" w:hAnsi="仿宋" w:eastAsia="仿宋_GB2312"/>
          <w:sz w:val="28"/>
          <w:szCs w:val="28"/>
        </w:rPr>
      </w:pPr>
      <w:r>
        <w:rPr>
          <w:rFonts w:hint="eastAsia" w:ascii="仿宋_GB2312" w:eastAsia="仿宋_GB2312"/>
          <w:kern w:val="0"/>
          <w:sz w:val="28"/>
          <w:szCs w:val="28"/>
          <w:lang w:eastAsia="zh-CN"/>
        </w:rPr>
        <w:t>区委组织部单位性质为行政单位，为财政决算新增单位。区委组织部部门决算包括：区委组织部本级、所属事业单位北京市大兴区党员电化教育中心和中共北京市大兴区委组织部干部管理监督中心、北京市大兴区人才发展促进中心。区委组织部内设科室分别是：办公室、干部科、干部监督科、干部培训科、干部规划科、公务员管理科、调研信息科、人才工作科、档案科、信息化管理科、党建科、组织一科、组织二科、组织三科、党员电化教育中心、干部管理监督中心、人才发展促进中心。2024年，根据《大兴区机构改革方案》要求，区委组织部机构改革主要任务有两项：一是将区委“两新”工委职责由区委组织部划入区委社会工作部，组织部不再承担“两新”工委日常工作；二是区委组织部划入区人力社保局公务员工资福利管理相关职责，负责本区公务员工资、津贴、补贴、奖金、福利等有关政策的组织实施。</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2928.95</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307.97</w:t>
      </w:r>
      <w:r>
        <w:rPr>
          <w:rFonts w:hint="eastAsia" w:ascii="仿宋_GB2312" w:eastAsia="仿宋_GB2312"/>
          <w:sz w:val="28"/>
          <w:szCs w:val="28"/>
        </w:rPr>
        <w:t>万元，下降</w:t>
      </w:r>
      <w:r>
        <w:rPr>
          <w:rFonts w:hint="eastAsia" w:ascii="仿宋_GB2312" w:eastAsia="仿宋_GB2312"/>
          <w:sz w:val="28"/>
          <w:szCs w:val="28"/>
          <w:lang w:val="en-US" w:eastAsia="zh-CN"/>
        </w:rPr>
        <w:t>9.51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2791.81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445.11</w:t>
      </w:r>
      <w:r>
        <w:rPr>
          <w:rFonts w:hint="eastAsia" w:ascii="仿宋_GB2312" w:eastAsia="仿宋_GB2312"/>
          <w:sz w:val="28"/>
          <w:szCs w:val="28"/>
        </w:rPr>
        <w:t>万元，下降</w:t>
      </w:r>
      <w:r>
        <w:rPr>
          <w:rFonts w:hint="eastAsia" w:ascii="仿宋_GB2312" w:eastAsia="仿宋_GB2312"/>
          <w:sz w:val="28"/>
          <w:szCs w:val="28"/>
          <w:lang w:val="en-US" w:eastAsia="zh-CN"/>
        </w:rPr>
        <w:t>13.75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2773.23</w:t>
      </w:r>
      <w:r>
        <w:rPr>
          <w:rFonts w:hint="eastAsia" w:ascii="仿宋_GB2312" w:eastAsia="仿宋_GB2312"/>
          <w:sz w:val="28"/>
          <w:szCs w:val="28"/>
        </w:rPr>
        <w:t>万元，占收入合计的</w:t>
      </w:r>
      <w:r>
        <w:rPr>
          <w:rFonts w:hint="eastAsia" w:ascii="仿宋_GB2312" w:eastAsia="仿宋_GB2312"/>
          <w:sz w:val="28"/>
          <w:szCs w:val="28"/>
          <w:lang w:eastAsia="zh-CN"/>
        </w:rPr>
        <w:t>99.33%。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2773.23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18.58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0.67</w:t>
      </w:r>
      <w:r>
        <w:rPr>
          <w:rFonts w:hint="eastAsia" w:ascii="仿宋_GB2312" w:eastAsia="仿宋_GB2312"/>
          <w:sz w:val="28"/>
          <w:szCs w:val="28"/>
          <w:highlight w:val="none"/>
        </w:rPr>
        <w:t>%。</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pStyle w:val="3"/>
        <w:ind w:firstLine="0"/>
        <w:jc w:val="center"/>
      </w:pPr>
      <w:r>
        <w:rPr>
          <w:rFonts w:hint="eastAsia" w:eastAsia="仿宋_GB2312"/>
          <w:lang w:eastAsia="zh-CN"/>
        </w:rPr>
        <w:object>
          <v:shape id="_x0000_i1025" o:spt="75" type="#_x0000_t75" style="height:178.85pt;width:294.45pt;" o:ole="t" filled="f" o:preferrelative="t" stroked="f" coordsize="21600,21600">
            <v:path/>
            <v:fill on="f" focussize="0,0"/>
            <v:stroke on="f"/>
            <v:imagedata r:id="rId8" o:title=""/>
            <o:lock v:ext="edit" aspectratio="t"/>
            <w10:wrap type="none"/>
            <w10:anchorlock/>
          </v:shape>
          <o:OLEObject Type="Embed" ProgID="Excel.Sheet.8" ShapeID="_x0000_i1025" DrawAspect="Content" ObjectID="_1468075725" r:id="rId7">
            <o:LockedField>false</o:LockedField>
          </o:OLEObject>
        </w:object>
      </w:r>
    </w:p>
    <w:p>
      <w:pPr>
        <w:pStyle w:val="4"/>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2910.37</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326.55</w:t>
      </w:r>
      <w:r>
        <w:rPr>
          <w:rFonts w:hint="eastAsia" w:ascii="仿宋_GB2312" w:eastAsia="仿宋_GB2312"/>
          <w:sz w:val="28"/>
          <w:szCs w:val="28"/>
        </w:rPr>
        <w:t>万元，下降</w:t>
      </w:r>
      <w:r>
        <w:rPr>
          <w:rFonts w:hint="eastAsia" w:ascii="仿宋_GB2312" w:eastAsia="仿宋_GB2312"/>
          <w:sz w:val="28"/>
          <w:szCs w:val="28"/>
          <w:lang w:val="en-US" w:eastAsia="zh-CN"/>
        </w:rPr>
        <w:t>10.09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1794.09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61.64</w:t>
      </w:r>
      <w:r>
        <w:rPr>
          <w:rFonts w:hint="eastAsia" w:ascii="仿宋_GB2312" w:eastAsia="仿宋_GB2312"/>
          <w:sz w:val="28"/>
          <w:szCs w:val="28"/>
          <w:highlight w:val="none"/>
        </w:rPr>
        <w:t>%；项目支出</w:t>
      </w:r>
      <w:r>
        <w:rPr>
          <w:rFonts w:ascii="仿宋_GB2312" w:eastAsia="仿宋_GB2312"/>
          <w:sz w:val="28"/>
          <w:szCs w:val="28"/>
          <w:highlight w:val="none"/>
        </w:rPr>
        <w:t>1116.28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38.36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pStyle w:val="3"/>
        <w:ind w:firstLine="642"/>
        <w:jc w:val="center"/>
        <w:rPr>
          <w:rFonts w:ascii="黑体" w:eastAsia="黑体"/>
          <w:b/>
          <w:sz w:val="28"/>
          <w:szCs w:val="28"/>
        </w:rPr>
      </w:pPr>
      <w:r>
        <w:rPr>
          <w:rFonts w:hint="eastAsia" w:eastAsia="仿宋_GB2312"/>
          <w:lang w:eastAsia="zh-CN"/>
        </w:rPr>
        <w:object>
          <v:shape id="_x0000_i1026" o:spt="75" type="#_x0000_t75" style="height:178.2pt;width:293.4pt;" o:ole="t" filled="f" o:preferrelative="t" stroked="f" coordsize="21600,21600">
            <v:path/>
            <v:fill on="f" focussize="0,0"/>
            <v:stroke on="f"/>
            <v:imagedata r:id="rId10" o:title=""/>
            <o:lock v:ext="edit" aspectratio="t"/>
            <w10:wrap type="none"/>
            <w10:anchorlock/>
          </v:shape>
          <o:OLEObject Type="Embed" ProgID="Excel.Sheet.8" ShapeID="_x0000_i1026" DrawAspect="Content" ObjectID="_1468075726" r:id="rId9">
            <o:LockedField>false</o:LockedField>
          </o:OLEObject>
        </w:obje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2910.37</w:t>
      </w:r>
      <w:r>
        <w:rPr>
          <w:rFonts w:hint="eastAsia" w:ascii="仿宋_GB2312" w:eastAsia="仿宋_GB2312"/>
          <w:sz w:val="28"/>
          <w:szCs w:val="28"/>
        </w:rPr>
        <w:t>万元，比上年减少</w:t>
      </w:r>
      <w:r>
        <w:rPr>
          <w:rFonts w:hint="eastAsia" w:ascii="仿宋_GB2312" w:eastAsia="仿宋_GB2312"/>
          <w:sz w:val="28"/>
          <w:szCs w:val="28"/>
          <w:lang w:val="en-US" w:eastAsia="zh-CN"/>
        </w:rPr>
        <w:t>326.55</w:t>
      </w:r>
      <w:r>
        <w:rPr>
          <w:rFonts w:hint="eastAsia" w:ascii="仿宋_GB2312" w:eastAsia="仿宋_GB2312"/>
          <w:sz w:val="28"/>
          <w:szCs w:val="28"/>
        </w:rPr>
        <w:t>万元，</w:t>
      </w:r>
      <w:r>
        <w:rPr>
          <w:rFonts w:hint="eastAsia" w:ascii="仿宋_GB2312" w:eastAsia="仿宋_GB2312"/>
          <w:sz w:val="28"/>
          <w:szCs w:val="28"/>
          <w:lang w:val="en-US" w:eastAsia="zh-CN"/>
        </w:rPr>
        <w:t>下降10.09%</w:t>
      </w:r>
      <w:r>
        <w:rPr>
          <w:rFonts w:hint="eastAsia" w:ascii="仿宋_GB2312" w:eastAsia="仿宋_GB2312"/>
          <w:sz w:val="28"/>
          <w:szCs w:val="28"/>
        </w:rPr>
        <w:t>。主要原因：</w:t>
      </w:r>
      <w:r>
        <w:rPr>
          <w:rFonts w:hint="eastAsia" w:ascii="仿宋_GB2312" w:eastAsia="仿宋_GB2312"/>
          <w:sz w:val="28"/>
          <w:szCs w:val="28"/>
          <w:lang w:eastAsia="zh-CN"/>
        </w:rPr>
        <w:t>机构改革，</w:t>
      </w:r>
      <w:r>
        <w:rPr>
          <w:rFonts w:hint="eastAsia" w:ascii="仿宋_GB2312" w:eastAsia="仿宋_GB2312"/>
          <w:kern w:val="0"/>
          <w:sz w:val="28"/>
          <w:szCs w:val="28"/>
          <w:lang w:eastAsia="zh-CN"/>
        </w:rPr>
        <w:t>组织部不再承担“两新”工委日常工作，相关经费不再支出</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2910.37</w:t>
      </w:r>
      <w:r>
        <w:rPr>
          <w:rFonts w:hint="eastAsia" w:ascii="仿宋_GB2312" w:eastAsia="仿宋_GB2312"/>
          <w:sz w:val="28"/>
          <w:szCs w:val="28"/>
        </w:rPr>
        <w:t>万元，主要用于以下方面（按大类）：</w:t>
      </w:r>
      <w:r>
        <w:rPr>
          <w:rFonts w:hint="eastAsia" w:ascii="仿宋_GB2312" w:eastAsia="仿宋_GB2312"/>
          <w:sz w:val="28"/>
          <w:szCs w:val="28"/>
          <w:highlight w:val="none"/>
        </w:rPr>
        <w:t>一般公共服务支出</w:t>
      </w:r>
      <w:r>
        <w:rPr>
          <w:rFonts w:hint="eastAsia" w:ascii="仿宋_GB2312" w:eastAsia="仿宋_GB2312"/>
          <w:sz w:val="28"/>
          <w:szCs w:val="28"/>
          <w:highlight w:val="none"/>
          <w:lang w:val="en-US" w:eastAsia="zh-CN"/>
        </w:rPr>
        <w:t>2910.37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w:t>
      </w:r>
      <w:r>
        <w:rPr>
          <w:rFonts w:hint="eastAsia" w:ascii="仿宋_GB2312" w:eastAsia="仿宋_GB2312"/>
          <w:sz w:val="28"/>
          <w:szCs w:val="28"/>
          <w:lang w:val="en-US" w:eastAsia="zh-CN"/>
        </w:rPr>
        <w:t>2024年度年初预算2273.30万元，2024年度决算1924.67万元，完成年初预算的85.48%。</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（2）“教育支出”</w:t>
      </w: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val="en-US" w:eastAsia="zh-CN"/>
        </w:rPr>
        <w:t>年初预算735.6万元，2024年度决算517.14万元，完成年初预算的70.30%。</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（3）“社会保障和就业支出”</w:t>
      </w: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val="en-US" w:eastAsia="zh-CN"/>
        </w:rPr>
        <w:t>年初预算181.15万元，2024年度决算183.82万元，完成年初预算的101.48%。</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（4）“卫生健康支出”</w:t>
      </w: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val="en-US" w:eastAsia="zh-CN"/>
        </w:rPr>
        <w:t>年初预算148.72万元，2024年度决算147.59万元，完成年初预算的99.24%。</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本部门</w:t>
      </w:r>
      <w:r>
        <w:rPr>
          <w:rFonts w:hint="eastAsia" w:ascii="仿宋_GB2312" w:eastAsia="仿宋_GB2312"/>
          <w:sz w:val="28"/>
          <w:szCs w:val="28"/>
          <w:lang w:eastAsia="zh-CN"/>
        </w:rPr>
        <w:t>2024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本部门</w:t>
      </w:r>
      <w:r>
        <w:rPr>
          <w:rFonts w:hint="eastAsia" w:ascii="仿宋_GB2312" w:eastAsia="仿宋_GB2312"/>
          <w:sz w:val="28"/>
          <w:szCs w:val="28"/>
          <w:lang w:eastAsia="zh-CN"/>
        </w:rPr>
        <w:t>2024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1794.09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2.44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万元增加0.64万元。其中：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hAnsi="Times New Roman" w:eastAsia="仿宋_GB2312" w:cs="Times New Roman"/>
          <w:sz w:val="28"/>
          <w:szCs w:val="28"/>
          <w:lang w:eastAsia="zh-CN"/>
        </w:rPr>
        <w:t>2024</w:t>
      </w:r>
      <w:r>
        <w:rPr>
          <w:rFonts w:hint="eastAsia" w:ascii="仿宋_GB2312" w:hAnsi="Times New Roman" w:eastAsia="仿宋_GB2312" w:cs="Times New Roman"/>
          <w:sz w:val="28"/>
          <w:szCs w:val="28"/>
        </w:rPr>
        <w:t>年度决算数</w:t>
      </w:r>
      <w:r>
        <w:rPr>
          <w:rFonts w:hint="eastAsia" w:ascii="仿宋_GB2312" w:hAnsi="Times New Roman" w:eastAsia="仿宋_GB2312" w:cs="Times New Roman"/>
          <w:sz w:val="28"/>
          <w:szCs w:val="28"/>
          <w:lang w:val="en-US" w:eastAsia="zh-CN"/>
        </w:rPr>
        <w:t>1.17</w:t>
      </w:r>
      <w:r>
        <w:rPr>
          <w:rFonts w:hint="eastAsia" w:ascii="仿宋_GB2312" w:hAnsi="Times New Roman" w:eastAsia="仿宋_GB2312" w:cs="Times New Roman"/>
          <w:sz w:val="28"/>
          <w:szCs w:val="28"/>
        </w:rPr>
        <w:t>万元，比</w:t>
      </w:r>
      <w:r>
        <w:rPr>
          <w:rFonts w:hint="eastAsia" w:ascii="仿宋_GB2312" w:hAnsi="Times New Roman" w:eastAsia="仿宋_GB2312" w:cs="Times New Roman"/>
          <w:sz w:val="28"/>
          <w:szCs w:val="28"/>
          <w:lang w:eastAsia="zh-CN"/>
        </w:rPr>
        <w:t>2024</w:t>
      </w:r>
      <w:r>
        <w:rPr>
          <w:rFonts w:hint="eastAsia" w:ascii="仿宋_GB2312" w:hAnsi="Times New Roman" w:eastAsia="仿宋_GB2312" w:cs="Times New Roman"/>
          <w:sz w:val="28"/>
          <w:szCs w:val="28"/>
        </w:rPr>
        <w:t>年度年初预算数0万元增加</w:t>
      </w:r>
      <w:r>
        <w:rPr>
          <w:rFonts w:hint="eastAsia" w:ascii="仿宋_GB2312" w:hAnsi="Times New Roman" w:eastAsia="仿宋_GB2312" w:cs="Times New Roman"/>
          <w:sz w:val="28"/>
          <w:szCs w:val="28"/>
          <w:lang w:val="en-US" w:eastAsia="zh-CN"/>
        </w:rPr>
        <w:t>1.17</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根据区委工作安排，赴香港开展基层结对交流、人才等领域合作，并执行招商引资任务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sz w:val="28"/>
          <w:szCs w:val="28"/>
          <w:lang w:eastAsia="zh-CN"/>
        </w:rPr>
        <w:t>赴香港开展基层结对交流、人才等领域合作，并执行招商引资任务</w:t>
      </w:r>
      <w:r>
        <w:rPr>
          <w:rFonts w:hint="eastAsia" w:ascii="仿宋_GB2312" w:eastAsia="仿宋_GB2312" w:cs="Times New Roman"/>
          <w:sz w:val="28"/>
          <w:szCs w:val="28"/>
          <w:lang w:val="en-US" w:eastAsia="zh-CN"/>
        </w:rPr>
        <w:t>等</w:t>
      </w:r>
      <w:r>
        <w:rPr>
          <w:rFonts w:hint="eastAsia" w:ascii="仿宋_GB2312" w:eastAsia="仿宋_GB2312"/>
          <w:sz w:val="28"/>
          <w:szCs w:val="28"/>
        </w:rPr>
        <w:t>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1</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sz w:val="28"/>
          <w:szCs w:val="28"/>
          <w:lang w:eastAsia="zh-CN"/>
        </w:rPr>
        <w:t>2024</w:t>
      </w:r>
      <w:r>
        <w:rPr>
          <w:rFonts w:hint="eastAsia" w:ascii="仿宋_GB2312" w:hAnsi="Times New Roman" w:eastAsia="仿宋_GB2312" w:cs="Times New Roman"/>
          <w:sz w:val="28"/>
          <w:szCs w:val="28"/>
        </w:rPr>
        <w:t>年度未开展此项业务</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2024</w:t>
      </w:r>
      <w:r>
        <w:rPr>
          <w:rFonts w:hint="eastAsia" w:ascii="仿宋_GB2312" w:hAnsi="Times New Roman" w:eastAsia="仿宋_GB2312" w:cs="Times New Roman"/>
          <w:sz w:val="28"/>
          <w:szCs w:val="28"/>
        </w:rPr>
        <w:t>年度决算数</w:t>
      </w:r>
      <w:r>
        <w:rPr>
          <w:rFonts w:hint="eastAsia" w:ascii="仿宋_GB2312" w:hAnsi="Times New Roman" w:eastAsia="仿宋_GB2312" w:cs="Times New Roman"/>
          <w:sz w:val="28"/>
          <w:szCs w:val="28"/>
          <w:lang w:val="en-US" w:eastAsia="zh-CN"/>
        </w:rPr>
        <w:t>1.27</w:t>
      </w:r>
      <w:r>
        <w:rPr>
          <w:rFonts w:hint="eastAsia" w:ascii="仿宋_GB2312" w:hAnsi="Times New Roman" w:eastAsia="仿宋_GB2312" w:cs="Times New Roman"/>
          <w:sz w:val="28"/>
          <w:szCs w:val="28"/>
        </w:rPr>
        <w:t>万元，比</w:t>
      </w:r>
      <w:r>
        <w:rPr>
          <w:rFonts w:hint="eastAsia" w:ascii="仿宋_GB2312" w:hAnsi="Times New Roman" w:eastAsia="仿宋_GB2312" w:cs="Times New Roman"/>
          <w:sz w:val="28"/>
          <w:szCs w:val="28"/>
          <w:lang w:eastAsia="zh-CN"/>
        </w:rPr>
        <w:t>2024</w:t>
      </w:r>
      <w:r>
        <w:rPr>
          <w:rFonts w:hint="eastAsia" w:ascii="仿宋_GB2312" w:hAnsi="Times New Roman" w:eastAsia="仿宋_GB2312" w:cs="Times New Roman"/>
          <w:sz w:val="28"/>
          <w:szCs w:val="28"/>
        </w:rPr>
        <w:t>年度年初预算数1.80万元减少0</w:t>
      </w:r>
      <w:r>
        <w:rPr>
          <w:rFonts w:hint="eastAsia" w:ascii="仿宋_GB2312" w:hAnsi="Times New Roman" w:eastAsia="仿宋_GB2312" w:cs="Times New Roman"/>
          <w:sz w:val="28"/>
          <w:szCs w:val="28"/>
          <w:lang w:val="en-US" w:eastAsia="zh-CN"/>
        </w:rPr>
        <w:t>.53</w:t>
      </w:r>
      <w:r>
        <w:rPr>
          <w:rFonts w:hint="eastAsia" w:ascii="仿宋_GB2312" w:hAnsi="Times New Roman" w:eastAsia="仿宋_GB2312" w:cs="Times New Roman"/>
          <w:sz w:val="28"/>
          <w:szCs w:val="28"/>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sz w:val="28"/>
          <w:szCs w:val="28"/>
        </w:rPr>
        <w:t>本年度无此项预算和支出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hAnsi="Times New Roman" w:eastAsia="仿宋_GB2312" w:cs="Times New Roman"/>
          <w:sz w:val="28"/>
          <w:szCs w:val="28"/>
          <w:lang w:val="en-US" w:eastAsia="zh-CN"/>
        </w:rPr>
        <w:t>1.27</w:t>
      </w:r>
      <w:r>
        <w:rPr>
          <w:rFonts w:hint="eastAsia" w:ascii="仿宋_GB2312" w:eastAsia="仿宋_GB2312"/>
          <w:sz w:val="28"/>
          <w:szCs w:val="28"/>
        </w:rPr>
        <w:t>万元，主要原因：</w:t>
      </w:r>
      <w:r>
        <w:rPr>
          <w:rFonts w:hint="eastAsia" w:ascii="仿宋_GB2312" w:hAnsi="Times New Roman" w:eastAsia="仿宋_GB2312" w:cs="Times New Roman"/>
          <w:sz w:val="28"/>
          <w:szCs w:val="28"/>
        </w:rPr>
        <w:t>节约车辆经费，降低公车运维费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109.35</w:t>
      </w:r>
      <w:r>
        <w:rPr>
          <w:rFonts w:hint="eastAsia" w:ascii="仿宋_GB2312" w:eastAsia="仿宋_GB2312"/>
          <w:sz w:val="28"/>
          <w:szCs w:val="28"/>
        </w:rPr>
        <w:t>万元，比上年增加</w:t>
      </w:r>
      <w:r>
        <w:rPr>
          <w:rFonts w:hint="eastAsia" w:ascii="仿宋_GB2312" w:eastAsia="仿宋_GB2312"/>
          <w:sz w:val="28"/>
          <w:szCs w:val="28"/>
          <w:lang w:val="en-US" w:eastAsia="zh-CN"/>
        </w:rPr>
        <w:t>6.9</w:t>
      </w:r>
      <w:r>
        <w:rPr>
          <w:rFonts w:hint="eastAsia" w:ascii="仿宋_GB2312" w:eastAsia="仿宋_GB2312"/>
          <w:sz w:val="28"/>
          <w:szCs w:val="28"/>
        </w:rPr>
        <w:t>万元，增加原因：</w:t>
      </w:r>
      <w:r>
        <w:rPr>
          <w:rFonts w:hint="eastAsia" w:ascii="仿宋_GB2312" w:eastAsia="仿宋_GB2312"/>
          <w:sz w:val="28"/>
          <w:szCs w:val="28"/>
          <w:highlight w:val="none"/>
          <w:lang w:val="en-US" w:eastAsia="zh-CN"/>
        </w:rPr>
        <w:t>加强部机关相关科室工作力量，全年增加公务员7人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2024</w:t>
      </w:r>
      <w:r>
        <w:rPr>
          <w:rFonts w:hint="eastAsia" w:ascii="仿宋_GB2312" w:eastAsia="仿宋_GB2312"/>
          <w:sz w:val="28"/>
          <w:szCs w:val="28"/>
        </w:rPr>
        <w:t>年度政府采购支出总额</w:t>
      </w:r>
      <w:r>
        <w:rPr>
          <w:rFonts w:hint="eastAsia" w:ascii="仿宋_GB2312" w:eastAsia="仿宋_GB2312"/>
          <w:sz w:val="28"/>
          <w:szCs w:val="28"/>
          <w:lang w:val="en-US" w:eastAsia="zh-CN"/>
        </w:rPr>
        <w:t>12.45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12.45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12.31</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98.52</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12.31</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98.52</w:t>
      </w:r>
      <w:r>
        <w:rPr>
          <w:rFonts w:hint="eastAsia" w:ascii="仿宋_GB2312" w:eastAsia="仿宋_GB2312"/>
          <w:sz w:val="28"/>
          <w:szCs w:val="28"/>
        </w:rPr>
        <w:t>%</w:t>
      </w:r>
      <w:r>
        <w:rPr>
          <w:rFonts w:hint="eastAsia" w:ascii="仿宋_GB2312" w:eastAsia="仿宋_GB2312"/>
          <w:sz w:val="28"/>
          <w:szCs w:val="28"/>
          <w:lang w:eastAsia="zh-CN"/>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12月31日，中国共产党北京市大兴区委员会组织部</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7.一般公共服务支出（类）组织事务（款）行政运行（项）：反映行政单位（包括实行公务员管理的事业单位）的基本支出。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1</w:t>
      </w:r>
      <w:r>
        <w:rPr>
          <w:rFonts w:hint="eastAsia" w:ascii="黑体" w:eastAsia="黑体"/>
          <w:sz w:val="28"/>
          <w:szCs w:val="28"/>
          <w:highlight w:val="none"/>
          <w:lang w:eastAsia="zh-CN"/>
        </w:rPr>
        <w:t>）</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1</w:t>
      </w:r>
      <w:r>
        <w:rPr>
          <w:rFonts w:hint="eastAsia" w:ascii="黑体" w:eastAsia="黑体"/>
          <w:sz w:val="28"/>
          <w:szCs w:val="28"/>
          <w:highlight w:val="none"/>
          <w:lang w:eastAsia="zh-CN"/>
        </w:rPr>
        <w:t>）</w:t>
      </w:r>
      <w:bookmarkStart w:id="0" w:name="_GoBack"/>
      <w:bookmarkEnd w:id="0"/>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063DB"/>
    <w:rsid w:val="145A6C1B"/>
    <w:rsid w:val="14B73493"/>
    <w:rsid w:val="167A2FF9"/>
    <w:rsid w:val="1764587C"/>
    <w:rsid w:val="18581C69"/>
    <w:rsid w:val="1AEC0734"/>
    <w:rsid w:val="1DD83F22"/>
    <w:rsid w:val="1DEF20B0"/>
    <w:rsid w:val="1FF7AB17"/>
    <w:rsid w:val="214243FA"/>
    <w:rsid w:val="21AD613C"/>
    <w:rsid w:val="22467189"/>
    <w:rsid w:val="257A14F5"/>
    <w:rsid w:val="27196C26"/>
    <w:rsid w:val="29EF086F"/>
    <w:rsid w:val="2BC34C59"/>
    <w:rsid w:val="2CB83815"/>
    <w:rsid w:val="2EFFE297"/>
    <w:rsid w:val="301437CA"/>
    <w:rsid w:val="349D1F0A"/>
    <w:rsid w:val="34DD0473"/>
    <w:rsid w:val="38B81D4F"/>
    <w:rsid w:val="3A8E35DC"/>
    <w:rsid w:val="3C684897"/>
    <w:rsid w:val="433E495C"/>
    <w:rsid w:val="446A53A9"/>
    <w:rsid w:val="489F2FD7"/>
    <w:rsid w:val="4AC27CB3"/>
    <w:rsid w:val="4BF72BEF"/>
    <w:rsid w:val="4FA90297"/>
    <w:rsid w:val="4FC41A43"/>
    <w:rsid w:val="50C67701"/>
    <w:rsid w:val="51DB3C59"/>
    <w:rsid w:val="550C0952"/>
    <w:rsid w:val="55762E42"/>
    <w:rsid w:val="57A7B272"/>
    <w:rsid w:val="58470068"/>
    <w:rsid w:val="58747CAC"/>
    <w:rsid w:val="5A1720F9"/>
    <w:rsid w:val="5B9C37C2"/>
    <w:rsid w:val="5BA7C654"/>
    <w:rsid w:val="5DF716AE"/>
    <w:rsid w:val="5F9F507E"/>
    <w:rsid w:val="60A54109"/>
    <w:rsid w:val="61D01CDF"/>
    <w:rsid w:val="64C0607C"/>
    <w:rsid w:val="64EF38A3"/>
    <w:rsid w:val="65756C86"/>
    <w:rsid w:val="66B874E4"/>
    <w:rsid w:val="674D385B"/>
    <w:rsid w:val="676F09E1"/>
    <w:rsid w:val="68002F8B"/>
    <w:rsid w:val="69FA7FD7"/>
    <w:rsid w:val="71691990"/>
    <w:rsid w:val="71793A80"/>
    <w:rsid w:val="7357290B"/>
    <w:rsid w:val="73AA5D1D"/>
    <w:rsid w:val="756523B8"/>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toc 2"/>
    <w:next w:val="1"/>
    <w:qFormat/>
    <w:uiPriority w:val="0"/>
    <w:pPr>
      <w:widowControl w:val="0"/>
      <w:spacing w:line="560" w:lineRule="exact"/>
      <w:ind w:left="420" w:leftChars="200"/>
      <w:jc w:val="both"/>
    </w:pPr>
    <w:rPr>
      <w:rFonts w:ascii="Calibri" w:hAnsi="Calibri" w:eastAsia="仿宋_GB2312" w:cs="Times New Roman"/>
      <w:kern w:val="2"/>
      <w:sz w:val="32"/>
      <w:szCs w:val="24"/>
      <w:lang w:val="en-US" w:eastAsia="zh-CN" w:bidi="ar-SA"/>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298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NINGMEI</cp:lastModifiedBy>
  <cp:lastPrinted>2020-08-09T03:39:00Z</cp:lastPrinted>
  <dcterms:modified xsi:type="dcterms:W3CDTF">2025-09-19T03:07:26Z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